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095"/>
        <w:gridCol w:w="1843"/>
      </w:tblGrid>
      <w:tr w:rsidR="00AD233F" w14:paraId="1117F8D7" w14:textId="77777777" w:rsidTr="0094159D">
        <w:trPr>
          <w:trHeight w:val="1550"/>
        </w:trPr>
        <w:tc>
          <w:tcPr>
            <w:tcW w:w="1702" w:type="dxa"/>
          </w:tcPr>
          <w:p w14:paraId="3FEFA7F0" w14:textId="77777777" w:rsidR="00AD233F" w:rsidRDefault="00AD233F" w:rsidP="0094159D">
            <w:r>
              <w:object w:dxaOrig="1425" w:dyaOrig="1245" w14:anchorId="7867C4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62.25pt" o:ole="">
                  <v:imagedata r:id="rId5" o:title=""/>
                </v:shape>
                <o:OLEObject Type="Embed" ProgID="PBrush" ShapeID="_x0000_i1025" DrawAspect="Content" ObjectID="_1785933831" r:id="rId6"/>
              </w:object>
            </w:r>
          </w:p>
        </w:tc>
        <w:tc>
          <w:tcPr>
            <w:tcW w:w="6095" w:type="dxa"/>
          </w:tcPr>
          <w:p w14:paraId="680A6C70" w14:textId="77777777" w:rsidR="00AD233F" w:rsidRPr="00D64D73" w:rsidRDefault="00AD233F" w:rsidP="0094159D">
            <w:pPr>
              <w:pStyle w:val="Heading1"/>
              <w:ind w:right="-114" w:hanging="19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64D73">
              <w:rPr>
                <w:rFonts w:ascii="Times New Roman" w:hAnsi="Times New Roman"/>
                <w:b/>
                <w:bCs/>
                <w:sz w:val="32"/>
                <w:szCs w:val="32"/>
              </w:rPr>
              <w:t>College of Technology and Engineering</w:t>
            </w:r>
          </w:p>
          <w:p w14:paraId="72EF051D" w14:textId="77777777" w:rsidR="00AD233F" w:rsidRPr="00D64D73" w:rsidRDefault="00AD233F" w:rsidP="0094159D">
            <w:pPr>
              <w:pStyle w:val="Heading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D73">
              <w:rPr>
                <w:rFonts w:ascii="Times New Roman" w:hAnsi="Times New Roman"/>
                <w:sz w:val="22"/>
                <w:szCs w:val="22"/>
              </w:rPr>
              <w:t>Maharana Pratap University of Agriculture &amp; Technology</w:t>
            </w:r>
          </w:p>
          <w:p w14:paraId="56A4101C" w14:textId="77777777" w:rsidR="00AD233F" w:rsidRDefault="00AD233F" w:rsidP="0094159D">
            <w:pPr>
              <w:pStyle w:val="Heading1"/>
              <w:ind w:right="-114" w:hanging="198"/>
              <w:jc w:val="center"/>
              <w:rPr>
                <w:rFonts w:ascii="Times New Roman" w:hAnsi="Times New Roman"/>
                <w:szCs w:val="24"/>
              </w:rPr>
            </w:pPr>
            <w:r w:rsidRPr="00D64D73">
              <w:rPr>
                <w:rFonts w:ascii="Times New Roman" w:hAnsi="Times New Roman"/>
                <w:sz w:val="22"/>
                <w:szCs w:val="22"/>
              </w:rPr>
              <w:t>Udaipur-313 001</w:t>
            </w:r>
            <w:r w:rsidRPr="00D64D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Tel: 0294- 2471056 (O)</w:t>
            </w:r>
          </w:p>
          <w:p w14:paraId="6F0AF5A2" w14:textId="77777777" w:rsidR="00AD233F" w:rsidRDefault="00AD233F" w:rsidP="0094159D"/>
        </w:tc>
        <w:tc>
          <w:tcPr>
            <w:tcW w:w="1843" w:type="dxa"/>
          </w:tcPr>
          <w:p w14:paraId="127E4489" w14:textId="77777777" w:rsidR="00AD233F" w:rsidRDefault="00AD233F" w:rsidP="0094159D"/>
        </w:tc>
      </w:tr>
    </w:tbl>
    <w:p w14:paraId="5ABEEF55" w14:textId="57D70A4F" w:rsidR="005F6000" w:rsidRPr="00521461" w:rsidRDefault="00AD233F" w:rsidP="00AD233F">
      <w:pPr>
        <w:jc w:val="right"/>
        <w:rPr>
          <w:rFonts w:ascii="Arial" w:hAnsi="Arial" w:cs="Arial"/>
          <w:sz w:val="24"/>
          <w:szCs w:val="24"/>
        </w:rPr>
      </w:pPr>
      <w:r w:rsidRPr="00521461">
        <w:rPr>
          <w:rFonts w:ascii="Arial" w:hAnsi="Arial" w:cs="Arial"/>
          <w:sz w:val="24"/>
          <w:szCs w:val="24"/>
        </w:rPr>
        <w:t>Date: 23-08-24</w:t>
      </w:r>
    </w:p>
    <w:p w14:paraId="033A46C8" w14:textId="77777777" w:rsidR="00AD233F" w:rsidRDefault="00AD233F" w:rsidP="00AD233F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62C7B5C" w14:textId="77777777" w:rsidR="007F7A29" w:rsidRDefault="00AD233F" w:rsidP="007F7A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233F">
        <w:rPr>
          <w:rFonts w:ascii="Arial" w:hAnsi="Arial" w:cs="Arial"/>
          <w:b/>
          <w:bCs/>
          <w:sz w:val="32"/>
          <w:szCs w:val="32"/>
        </w:rPr>
        <w:t>Instructions for REAP 2024 Round 7</w:t>
      </w:r>
      <w:r w:rsidR="007F7A29">
        <w:rPr>
          <w:rFonts w:ascii="Arial" w:hAnsi="Arial" w:cs="Arial"/>
          <w:b/>
          <w:bCs/>
          <w:sz w:val="32"/>
          <w:szCs w:val="32"/>
        </w:rPr>
        <w:t xml:space="preserve"> Reporting </w:t>
      </w:r>
    </w:p>
    <w:p w14:paraId="4FAB7033" w14:textId="5DC0BD56" w:rsidR="00AD233F" w:rsidRDefault="007F7A29" w:rsidP="007F7A2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r w:rsidR="00AD233F" w:rsidRPr="00AD233F">
        <w:rPr>
          <w:rFonts w:ascii="Arial" w:hAnsi="Arial" w:cs="Arial"/>
          <w:b/>
          <w:bCs/>
          <w:sz w:val="32"/>
          <w:szCs w:val="32"/>
        </w:rPr>
        <w:t>Upward Movement of Rajasthan Candidates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174BCC86" w14:textId="620AB8FF" w:rsidR="00AD233F" w:rsidRPr="008732EE" w:rsidRDefault="00AD233F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</w:pPr>
      <w:r w:rsidRPr="00AD233F"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  <w:t xml:space="preserve">The candidates </w:t>
      </w:r>
      <w:r w:rsidRPr="008732EE"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  <w:t xml:space="preserve">who have been allotted College of Technology and Engineering, Udaipur (College Code 1006) in Round 7 of REAP 2024 counselling </w:t>
      </w:r>
      <w:r w:rsidRPr="00AD233F"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  <w:t xml:space="preserve">must read the following important instructions for reporting at </w:t>
      </w:r>
      <w:r w:rsidRPr="008732EE"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  <w:t>the college</w:t>
      </w:r>
      <w:r w:rsidRPr="00AD233F"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  <w:t>:</w:t>
      </w:r>
    </w:p>
    <w:p w14:paraId="2BBCE1D8" w14:textId="77777777" w:rsidR="00123A35" w:rsidRPr="008732EE" w:rsidRDefault="00123A35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en-IN" w:bidi="hi-IN"/>
          <w14:ligatures w14:val="none"/>
        </w:rPr>
      </w:pPr>
    </w:p>
    <w:p w14:paraId="54DE9BCF" w14:textId="155E8981" w:rsidR="00123A35" w:rsidRPr="00AD233F" w:rsidRDefault="00123A35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u w:val="single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u w:val="single"/>
          <w:lang w:eastAsia="en-IN" w:bidi="hi-IN"/>
          <w14:ligatures w14:val="none"/>
        </w:rPr>
        <w:t>Reporting Date and Time</w:t>
      </w:r>
    </w:p>
    <w:p w14:paraId="1A8FD0AC" w14:textId="34D94D4B" w:rsidR="00AD233F" w:rsidRPr="008732EE" w:rsidRDefault="00AD233F" w:rsidP="00873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Those applicants who have been allotted College of Technology and Engineering (College Code 1006), MPUAT, Udaipur in </w:t>
      </w:r>
      <w:r w:rsidRPr="00521461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Round 7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of REAP Counselling are instructed to 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report </w:t>
      </w:r>
      <w:r w:rsidR="00AF2BE0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physically</w:t>
      </w:r>
      <w:r w:rsidR="00AF2BE0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at college for document verification and fee deposition as per REAP schedule during working hours on university working days. </w:t>
      </w:r>
      <w:r w:rsidRPr="00AD233F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The last date for reporting in this round is 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29</w:t>
      </w:r>
      <w:r w:rsidRPr="00AD233F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-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08</w:t>
      </w:r>
      <w:r w:rsidRPr="00AD233F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-202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4</w:t>
      </w:r>
      <w:r w:rsidR="00AF2BE0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(5:00 PM)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as per the REAP schedule</w:t>
      </w:r>
      <w:r w:rsidRPr="00AD233F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After that,</w:t>
      </w:r>
      <w:r w:rsidRPr="00AD233F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no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reporting</w:t>
      </w:r>
      <w:r w:rsidRPr="00AD233F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will be considered in any circumstances.</w:t>
      </w:r>
    </w:p>
    <w:p w14:paraId="37A68999" w14:textId="4702E5B6" w:rsidR="00AD233F" w:rsidRPr="008732EE" w:rsidRDefault="009B43CE" w:rsidP="008732E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Candidates may report on any working day from 23-08-24 to 29-08-24 as REAP 2024 schedule. 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Please note that 25-08-24 (Sunday) and 26-08-24 (Shri Krishan Janmashtami) are the holiday.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14:paraId="2E95A314" w14:textId="74A49527" w:rsidR="009B43CE" w:rsidRPr="008732EE" w:rsidRDefault="009B43CE" w:rsidP="008732E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Candidate </w:t>
      </w:r>
      <w:r w:rsidR="007A427A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may </w:t>
      </w:r>
      <w:r w:rsidR="00AF2BE0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report during working hours of college i.e. </w:t>
      </w:r>
      <w:r w:rsidR="00AF2BE0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between 10 AM to 5:00 PM</w:t>
      </w:r>
      <w:r w:rsidR="00AF2BE0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.</w:t>
      </w:r>
    </w:p>
    <w:p w14:paraId="0402C979" w14:textId="77777777" w:rsidR="00123A35" w:rsidRPr="008732EE" w:rsidRDefault="00123A35" w:rsidP="008732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</w:p>
    <w:p w14:paraId="0A46FA3F" w14:textId="31FEEF3A" w:rsidR="00123A35" w:rsidRPr="008732EE" w:rsidRDefault="00123A35" w:rsidP="008732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Fee at the Time of Reporting</w:t>
      </w:r>
    </w:p>
    <w:p w14:paraId="4C725F54" w14:textId="52CBE090" w:rsidR="00AF2BE0" w:rsidRPr="008732EE" w:rsidRDefault="00AF2BE0" w:rsidP="008732E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Details of the </w:t>
      </w:r>
      <w:r w:rsidR="00FE24FE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applicable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fee</w:t>
      </w:r>
      <w:r w:rsidR="00FE24FE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at the time of reporting for the various courses (SFS/GAS) are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given in TABLE I below. 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If any</w:t>
      </w:r>
      <w:r w:rsidR="00FE24FE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candidate</w:t>
      </w: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has already </w:t>
      </w:r>
      <w:r w:rsidR="00FE24FE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deposited a fee at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another</w:t>
      </w:r>
      <w:r w:rsidR="00FE24FE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 institute allotted through REAP 2024 Round 6 (Rajasthan Candidates) that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amount </w:t>
      </w:r>
      <w:r w:rsidR="00FE24FE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will be adjusted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in the applicable fee on the production of the original fee receipt and previous college REAP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lastRenderedPageBreak/>
        <w:t>2024 allotment and admission letter.</w:t>
      </w:r>
      <w:r w:rsidR="00FE24FE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D53D5C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Those who have already deposited a </w:t>
      </w:r>
      <w:r w:rsidR="00D53D5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higher amount</w:t>
      </w:r>
      <w:r w:rsidR="00D53D5C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at the previously reported institute in comparison to the applicable fee at CTAE, </w:t>
      </w:r>
      <w:r w:rsidR="00B270BC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need to deposit </w:t>
      </w:r>
      <w:r w:rsidR="00B270B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only Rs 350/-</w:t>
      </w:r>
      <w:r w:rsidR="00B270BC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UG registration fee which will be refunded in the final settlement.</w:t>
      </w:r>
    </w:p>
    <w:p w14:paraId="248CC3D5" w14:textId="77777777" w:rsidR="00B270BC" w:rsidRPr="008732EE" w:rsidRDefault="00B270BC" w:rsidP="008732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</w:pPr>
    </w:p>
    <w:p w14:paraId="06A03C47" w14:textId="03C480C5" w:rsidR="00AF2BE0" w:rsidRPr="008732EE" w:rsidRDefault="00D53D5C" w:rsidP="008732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Applicable </w:t>
      </w:r>
      <w:r w:rsidR="00AF2BE0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 xml:space="preserve">FEE at the </w:t>
      </w:r>
      <w:r w:rsidR="00B270BC"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CTAE</w:t>
      </w:r>
    </w:p>
    <w:p w14:paraId="4C352883" w14:textId="77777777" w:rsidR="00AF2BE0" w:rsidRPr="008732EE" w:rsidRDefault="00AF2BE0" w:rsidP="008732EE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A detail of the fee to be deposited at the time of admission (Admission fee and First Semester Fee) is given below:</w:t>
      </w:r>
    </w:p>
    <w:p w14:paraId="2E6016B0" w14:textId="77777777" w:rsidR="00AF2BE0" w:rsidRPr="008732EE" w:rsidRDefault="00AF2BE0" w:rsidP="00521461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ind w:left="641" w:hanging="357"/>
        <w:jc w:val="both"/>
        <w:rPr>
          <w:rFonts w:ascii="Arial" w:eastAsia="Times New Roman" w:hAnsi="Arial" w:cs="Arial"/>
          <w:b/>
          <w:bCs/>
          <w:color w:val="525252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Self-Finance Scheme B. Tech. Program</w:t>
      </w:r>
      <w:r w:rsidRPr="008732EE">
        <w:rPr>
          <w:rFonts w:ascii="Arial" w:eastAsia="Times New Roman" w:hAnsi="Arial" w:cs="Arial"/>
          <w:b/>
          <w:bCs/>
          <w:color w:val="525252"/>
          <w:kern w:val="0"/>
          <w:sz w:val="24"/>
          <w:szCs w:val="24"/>
          <w:lang w:eastAsia="en-IN" w:bidi="hi-IN"/>
          <w14:ligatures w14:val="none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88"/>
        <w:gridCol w:w="1791"/>
      </w:tblGrid>
      <w:tr w:rsidR="00AF2BE0" w:rsidRPr="008732EE" w14:paraId="3A509356" w14:textId="77777777" w:rsidTr="0094159D">
        <w:tc>
          <w:tcPr>
            <w:tcW w:w="7088" w:type="dxa"/>
          </w:tcPr>
          <w:p w14:paraId="0B81C225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Branch Code-Branch Name (SFS)</w:t>
            </w:r>
          </w:p>
        </w:tc>
        <w:tc>
          <w:tcPr>
            <w:tcW w:w="1791" w:type="dxa"/>
          </w:tcPr>
          <w:p w14:paraId="0C01C0DD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Amount</w:t>
            </w: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vertAlign w:val="superscript"/>
                <w:lang w:eastAsia="en-IN" w:bidi="hi-IN"/>
                <w14:ligatures w14:val="none"/>
              </w:rPr>
              <w:t>*</w:t>
            </w: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(All category)</w:t>
            </w:r>
          </w:p>
        </w:tc>
      </w:tr>
      <w:tr w:rsidR="00AF2BE0" w:rsidRPr="008732EE" w14:paraId="6FAA0EDF" w14:textId="77777777" w:rsidTr="0094159D">
        <w:tc>
          <w:tcPr>
            <w:tcW w:w="7088" w:type="dxa"/>
          </w:tcPr>
          <w:p w14:paraId="403114CC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182-Artificial Intelligence and Data Science (SFS)</w:t>
            </w:r>
          </w:p>
          <w:p w14:paraId="35F7A5AF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105-Civil Engineering (SFS)</w:t>
            </w:r>
          </w:p>
          <w:p w14:paraId="789C00AA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176-Computer Science and Engineering (SFS)</w:t>
            </w:r>
          </w:p>
          <w:p w14:paraId="13D26EA6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107-Electrical Engineering (SFS)</w:t>
            </w:r>
          </w:p>
          <w:p w14:paraId="0AEB9792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109-Electronics and Communication Engineering (SFS)</w:t>
            </w:r>
          </w:p>
          <w:p w14:paraId="0B227789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113-Mechanical Engineering (SFS)</w:t>
            </w:r>
          </w:p>
          <w:p w14:paraId="44507ECA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114-Mining engineering (SFS)</w:t>
            </w:r>
          </w:p>
        </w:tc>
        <w:tc>
          <w:tcPr>
            <w:tcW w:w="1791" w:type="dxa"/>
          </w:tcPr>
          <w:p w14:paraId="5F1CD1D0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Rs 46000/-</w:t>
            </w:r>
          </w:p>
        </w:tc>
      </w:tr>
    </w:tbl>
    <w:p w14:paraId="6A0979F2" w14:textId="77777777" w:rsidR="00AF2BE0" w:rsidRPr="008732EE" w:rsidRDefault="00AF2BE0" w:rsidP="008732EE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25252"/>
          <w:kern w:val="0"/>
          <w:sz w:val="24"/>
          <w:szCs w:val="24"/>
          <w:lang w:eastAsia="en-IN" w:bidi="hi-IN"/>
          <w14:ligatures w14:val="none"/>
        </w:rPr>
      </w:pPr>
    </w:p>
    <w:p w14:paraId="0898195A" w14:textId="77777777" w:rsidR="00AF2BE0" w:rsidRPr="008732EE" w:rsidRDefault="00AF2BE0" w:rsidP="00521461">
      <w:pPr>
        <w:pStyle w:val="ListParagraph"/>
        <w:numPr>
          <w:ilvl w:val="0"/>
          <w:numId w:val="3"/>
        </w:numPr>
        <w:shd w:val="clear" w:color="auto" w:fill="FFFFFF"/>
        <w:spacing w:before="120" w:after="240" w:line="360" w:lineRule="auto"/>
        <w:ind w:left="641" w:hanging="35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kern w:val="0"/>
          <w:sz w:val="24"/>
          <w:szCs w:val="24"/>
          <w:lang w:eastAsia="en-IN" w:bidi="hi-IN"/>
          <w14:ligatures w14:val="none"/>
        </w:rPr>
        <w:t>Government Aided Seat B. Tech. Program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84"/>
        <w:gridCol w:w="2156"/>
        <w:gridCol w:w="1839"/>
      </w:tblGrid>
      <w:tr w:rsidR="00AF2BE0" w:rsidRPr="008732EE" w14:paraId="6B539AA1" w14:textId="77777777" w:rsidTr="0094159D">
        <w:tc>
          <w:tcPr>
            <w:tcW w:w="4884" w:type="dxa"/>
          </w:tcPr>
          <w:p w14:paraId="064729CB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Branch Code-Branch Name (GAS)</w:t>
            </w:r>
          </w:p>
        </w:tc>
        <w:tc>
          <w:tcPr>
            <w:tcW w:w="2156" w:type="dxa"/>
          </w:tcPr>
          <w:p w14:paraId="731AF336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Amount (SC/ST/Female Category)</w:t>
            </w:r>
          </w:p>
        </w:tc>
        <w:tc>
          <w:tcPr>
            <w:tcW w:w="1839" w:type="dxa"/>
          </w:tcPr>
          <w:p w14:paraId="6BF14DBC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vertAlign w:val="superscript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Amount</w:t>
            </w: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vertAlign w:val="superscript"/>
                <w:lang w:eastAsia="en-IN" w:bidi="hi-IN"/>
                <w14:ligatures w14:val="none"/>
              </w:rPr>
              <w:t>*</w:t>
            </w:r>
          </w:p>
          <w:p w14:paraId="23400D86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All other category</w:t>
            </w:r>
          </w:p>
        </w:tc>
      </w:tr>
      <w:tr w:rsidR="00AF2BE0" w:rsidRPr="008732EE" w14:paraId="2DD52FD9" w14:textId="77777777" w:rsidTr="0094159D">
        <w:tc>
          <w:tcPr>
            <w:tcW w:w="4884" w:type="dxa"/>
          </w:tcPr>
          <w:p w14:paraId="0160013D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141-Mining Engineering (GAS)</w:t>
            </w:r>
          </w:p>
          <w:p w14:paraId="5B1C2041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189-Agriculture Engineering (GAS)</w:t>
            </w:r>
          </w:p>
        </w:tc>
        <w:tc>
          <w:tcPr>
            <w:tcW w:w="2156" w:type="dxa"/>
          </w:tcPr>
          <w:p w14:paraId="610E4610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Rs. 18500/-</w:t>
            </w:r>
          </w:p>
        </w:tc>
        <w:tc>
          <w:tcPr>
            <w:tcW w:w="1839" w:type="dxa"/>
          </w:tcPr>
          <w:p w14:paraId="7BA2C10E" w14:textId="77777777" w:rsidR="00AF2BE0" w:rsidRPr="008732EE" w:rsidRDefault="00AF2BE0" w:rsidP="008732EE">
            <w:pPr>
              <w:pStyle w:val="ListParagraph"/>
              <w:spacing w:line="360" w:lineRule="auto"/>
              <w:ind w:left="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8732EE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Rs. 26000/-</w:t>
            </w:r>
          </w:p>
        </w:tc>
      </w:tr>
    </w:tbl>
    <w:p w14:paraId="669951C0" w14:textId="77777777" w:rsidR="00AF2BE0" w:rsidRPr="008732EE" w:rsidRDefault="00AF2BE0" w:rsidP="008732EE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25252"/>
          <w:kern w:val="0"/>
          <w:sz w:val="24"/>
          <w:szCs w:val="24"/>
          <w:lang w:eastAsia="en-IN" w:bidi="hi-IN"/>
          <w14:ligatures w14:val="none"/>
        </w:rPr>
      </w:pPr>
    </w:p>
    <w:p w14:paraId="7BC15D94" w14:textId="727F8E24" w:rsidR="00AF2BE0" w:rsidRPr="008732EE" w:rsidRDefault="00AF2BE0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color w:val="525252"/>
          <w:kern w:val="0"/>
          <w:sz w:val="24"/>
          <w:szCs w:val="24"/>
          <w:vertAlign w:val="superscript"/>
          <w:lang w:eastAsia="en-IN" w:bidi="hi-IN"/>
          <w14:ligatures w14:val="none"/>
        </w:rPr>
        <w:t>*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Applicant allotted seat under TFWS (Tuition fee waiver scheme) category will be waived off from Tuition Fee. </w:t>
      </w:r>
      <w:r w:rsidR="00B270BC"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The above fee excludes </w:t>
      </w:r>
      <w:r w:rsid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the </w:t>
      </w: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Hostel and Mess Fee. For details of the hostel and mess fee applicants are advised to visit the Hostel Chief Warden office. </w:t>
      </w:r>
    </w:p>
    <w:p w14:paraId="3BE1838D" w14:textId="77777777" w:rsidR="00ED6FEF" w:rsidRPr="008732EE" w:rsidRDefault="00ED6FEF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</w:p>
    <w:p w14:paraId="28712248" w14:textId="77777777" w:rsidR="00521461" w:rsidRDefault="00521461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18C69E60" w14:textId="77777777" w:rsidR="00521461" w:rsidRDefault="00521461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3E1A5C62" w14:textId="173CF66E" w:rsidR="00ED6FEF" w:rsidRPr="008732EE" w:rsidRDefault="00ED6FEF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b/>
          <w:bCs/>
          <w:kern w:val="0"/>
          <w:sz w:val="28"/>
          <w:szCs w:val="28"/>
          <w:lang w:eastAsia="en-IN" w:bidi="hi-IN"/>
          <w14:ligatures w14:val="none"/>
        </w:rPr>
        <w:lastRenderedPageBreak/>
        <w:t>Original Document and Photocopy required at the Time of Reporting</w:t>
      </w:r>
    </w:p>
    <w:p w14:paraId="281BC15A" w14:textId="77777777" w:rsidR="00B270BC" w:rsidRPr="008732EE" w:rsidRDefault="00B270BC" w:rsidP="008732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>Applicant must carry the following document at the time of reporting:</w:t>
      </w:r>
    </w:p>
    <w:p w14:paraId="4BD551AB" w14:textId="3FCE1346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Copy</w:t>
      </w:r>
      <w:r w:rsidRPr="008732EE">
        <w:rPr>
          <w:rFonts w:ascii="Arial" w:hAnsi="Arial" w:cs="Arial"/>
          <w:sz w:val="24"/>
          <w:szCs w:val="24"/>
        </w:rPr>
        <w:t xml:space="preserve"> of the</w:t>
      </w:r>
      <w:r w:rsidR="008732EE">
        <w:rPr>
          <w:rFonts w:ascii="Arial" w:hAnsi="Arial" w:cs="Arial"/>
          <w:sz w:val="24"/>
          <w:szCs w:val="24"/>
        </w:rPr>
        <w:t xml:space="preserve"> </w:t>
      </w:r>
      <w:r w:rsidR="008732EE" w:rsidRPr="008732EE">
        <w:rPr>
          <w:rFonts w:ascii="Arial" w:hAnsi="Arial" w:cs="Arial"/>
          <w:sz w:val="24"/>
          <w:szCs w:val="24"/>
        </w:rPr>
        <w:t>Round 7 (After Upward Movement)</w:t>
      </w:r>
      <w:r w:rsidRPr="008732EE">
        <w:rPr>
          <w:rFonts w:ascii="Arial" w:hAnsi="Arial" w:cs="Arial"/>
          <w:sz w:val="24"/>
          <w:szCs w:val="24"/>
        </w:rPr>
        <w:t xml:space="preserve"> Provisional REAP 2024 Allotment letter generated by the portal </w:t>
      </w:r>
    </w:p>
    <w:p w14:paraId="39705F71" w14:textId="5532B669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hAnsi="Arial" w:cs="Arial"/>
          <w:sz w:val="24"/>
          <w:szCs w:val="24"/>
        </w:rPr>
        <w:t xml:space="preserve">Copy of </w:t>
      </w:r>
      <w:r w:rsidR="008732EE">
        <w:rPr>
          <w:rFonts w:ascii="Arial" w:hAnsi="Arial" w:cs="Arial"/>
          <w:sz w:val="24"/>
          <w:szCs w:val="24"/>
        </w:rPr>
        <w:t xml:space="preserve">the </w:t>
      </w:r>
      <w:r w:rsidR="008732EE" w:rsidRPr="008732EE">
        <w:rPr>
          <w:rFonts w:ascii="Arial" w:hAnsi="Arial" w:cs="Arial"/>
          <w:sz w:val="24"/>
          <w:szCs w:val="24"/>
        </w:rPr>
        <w:t>Round 6 (Before Upward Movement)</w:t>
      </w:r>
      <w:r w:rsidR="008732EE">
        <w:rPr>
          <w:rFonts w:ascii="Arial" w:hAnsi="Arial" w:cs="Arial"/>
          <w:sz w:val="24"/>
          <w:szCs w:val="24"/>
        </w:rPr>
        <w:t xml:space="preserve"> </w:t>
      </w:r>
      <w:r w:rsidRPr="008732EE">
        <w:rPr>
          <w:rFonts w:ascii="Arial" w:hAnsi="Arial" w:cs="Arial"/>
          <w:sz w:val="24"/>
          <w:szCs w:val="24"/>
        </w:rPr>
        <w:t>Provisional REAP 2024 Allotment letter generated by the portal</w:t>
      </w:r>
    </w:p>
    <w:p w14:paraId="3A97667E" w14:textId="17533BDB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hAnsi="Arial" w:cs="Arial"/>
          <w:sz w:val="24"/>
          <w:szCs w:val="24"/>
        </w:rPr>
        <w:t xml:space="preserve">Original Fee Receipt of fee deposited at the previously allotted institute in Round 6 </w:t>
      </w:r>
      <w:r w:rsidR="008732EE" w:rsidRPr="008732EE">
        <w:rPr>
          <w:rFonts w:ascii="Arial" w:hAnsi="Arial" w:cs="Arial"/>
          <w:sz w:val="24"/>
          <w:szCs w:val="24"/>
        </w:rPr>
        <w:t>(Before Upward Movement)</w:t>
      </w:r>
      <w:r w:rsidR="008732EE">
        <w:rPr>
          <w:rFonts w:ascii="Arial" w:hAnsi="Arial" w:cs="Arial"/>
          <w:sz w:val="24"/>
          <w:szCs w:val="24"/>
        </w:rPr>
        <w:t xml:space="preserve"> </w:t>
      </w:r>
      <w:r w:rsidRPr="008732EE">
        <w:rPr>
          <w:rFonts w:ascii="Arial" w:hAnsi="Arial" w:cs="Arial"/>
          <w:sz w:val="24"/>
          <w:szCs w:val="24"/>
        </w:rPr>
        <w:t>of REAP 2024</w:t>
      </w:r>
    </w:p>
    <w:p w14:paraId="51AADAE5" w14:textId="53F4ADD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Copy of REAP-2024 Application form</w:t>
      </w:r>
    </w:p>
    <w:p w14:paraId="229C71DD" w14:textId="7777777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Copy of Final JEE Mains 2024 scorecard</w:t>
      </w:r>
    </w:p>
    <w:p w14:paraId="66C8E9A0" w14:textId="7777777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hAnsi="Arial" w:cs="Arial"/>
          <w:sz w:val="24"/>
          <w:szCs w:val="24"/>
        </w:rPr>
        <w:t>Original Student Aadhar Card along with one photocopy</w:t>
      </w:r>
    </w:p>
    <w:p w14:paraId="44B77DC2" w14:textId="7777777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One coloured Passport-size photograph of the Candidate</w:t>
      </w:r>
    </w:p>
    <w:p w14:paraId="4E606520" w14:textId="7777777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</w:pPr>
      <w:r w:rsidRPr="008732EE">
        <w:rPr>
          <w:rFonts w:ascii="Arial" w:hAnsi="Arial" w:cs="Arial"/>
          <w:sz w:val="24"/>
          <w:szCs w:val="24"/>
        </w:rPr>
        <w:t xml:space="preserve">Original Class 10 (X) mark sheet and certificate along with </w:t>
      </w:r>
      <w:r w:rsidRPr="008732EE">
        <w:rPr>
          <w:rFonts w:ascii="Arial" w:hAnsi="Arial" w:cs="Arial"/>
          <w:b/>
          <w:bCs/>
          <w:sz w:val="24"/>
          <w:szCs w:val="24"/>
        </w:rPr>
        <w:t>two photocopies</w:t>
      </w:r>
      <w:r w:rsidRPr="008732EE">
        <w:rPr>
          <w:rFonts w:ascii="Arial" w:hAnsi="Arial" w:cs="Arial"/>
          <w:sz w:val="24"/>
          <w:szCs w:val="24"/>
        </w:rPr>
        <w:t xml:space="preserve"> </w:t>
      </w:r>
    </w:p>
    <w:p w14:paraId="63145ACF" w14:textId="77777777" w:rsidR="00B270BC" w:rsidRPr="008732EE" w:rsidRDefault="00B270BC" w:rsidP="008732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 xml:space="preserve">Original Class 10+2 (XII) or Equivalent exam Mark sheet </w:t>
      </w:r>
      <w:r w:rsidRPr="008732EE">
        <w:rPr>
          <w:rFonts w:ascii="Arial" w:hAnsi="Arial" w:cs="Arial"/>
          <w:sz w:val="24"/>
          <w:szCs w:val="24"/>
        </w:rPr>
        <w:t xml:space="preserve">along </w:t>
      </w:r>
      <w:r w:rsidRPr="008732EE">
        <w:rPr>
          <w:rFonts w:ascii="Arial" w:hAnsi="Arial" w:cs="Arial"/>
          <w:b/>
          <w:bCs/>
          <w:sz w:val="24"/>
          <w:szCs w:val="24"/>
        </w:rPr>
        <w:t>with two photocopies</w:t>
      </w:r>
    </w:p>
    <w:p w14:paraId="1EEC9D67" w14:textId="29945A63" w:rsidR="00B270BC" w:rsidRPr="008732EE" w:rsidRDefault="00C03759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>Medical Fitness Certificate as per REAP-2024 format</w:t>
      </w:r>
    </w:p>
    <w:p w14:paraId="765F48F7" w14:textId="0FA34DE4" w:rsidR="00B270BC" w:rsidRPr="008732EE" w:rsidRDefault="00C03759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eastAsia="Times New Roman" w:hAnsi="Arial" w:cs="Arial"/>
          <w:kern w:val="0"/>
          <w:sz w:val="24"/>
          <w:szCs w:val="24"/>
          <w:lang w:eastAsia="en-IN" w:bidi="hi-IN"/>
          <w14:ligatures w14:val="none"/>
        </w:rPr>
        <w:t xml:space="preserve">Original Rajasthan </w:t>
      </w:r>
      <w:r w:rsidR="00B270BC" w:rsidRPr="008732EE">
        <w:rPr>
          <w:rFonts w:ascii="Arial" w:eastAsia="Times New Roman" w:hAnsi="Arial" w:cs="Arial"/>
          <w:sz w:val="24"/>
          <w:szCs w:val="24"/>
          <w:lang w:eastAsia="en-IN" w:bidi="hi-IN"/>
        </w:rPr>
        <w:t xml:space="preserve">Domicile Certificate along with one photocopy </w:t>
      </w:r>
    </w:p>
    <w:p w14:paraId="69840C61" w14:textId="435E0788" w:rsidR="00C03759" w:rsidRPr="008732EE" w:rsidRDefault="00C03759" w:rsidP="008732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>Certificate of category (SC/ ST/ OBC/ MBC/ EWS) issued by the Rajasthan State Government competent authority. (REQUIRED if applicable) along with one photocopy.</w:t>
      </w:r>
    </w:p>
    <w:p w14:paraId="43957F68" w14:textId="0A408D94" w:rsidR="00C03759" w:rsidRPr="008732EE" w:rsidRDefault="00C03759" w:rsidP="008732E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>In the case of OBC/MBC, the certificate should be issued on or after 01/09/2023</w:t>
      </w:r>
    </w:p>
    <w:p w14:paraId="5945A2E1" w14:textId="77777777" w:rsidR="00C03759" w:rsidRPr="008732EE" w:rsidRDefault="00C03759" w:rsidP="008732EE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>Undertaking by OBC/MBC in the required format (for non-creamy layer), (in case of a grace period of two years).</w:t>
      </w:r>
    </w:p>
    <w:p w14:paraId="108E7119" w14:textId="5F86735E" w:rsidR="00C03759" w:rsidRPr="008732EE" w:rsidRDefault="00C03759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>Income Certificate (financial year 2023-24) in the prescribed format of the state government (if applicable) as per REAP-2024 format (Required for EWS/ Non-Creamy layer OBC/MBC category candidates).</w:t>
      </w:r>
    </w:p>
    <w:p w14:paraId="407F0FAF" w14:textId="77777777" w:rsidR="00B270BC" w:rsidRPr="008732EE" w:rsidRDefault="00B270BC" w:rsidP="008732E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32EE">
        <w:rPr>
          <w:rFonts w:ascii="Arial" w:hAnsi="Arial" w:cs="Arial"/>
          <w:sz w:val="24"/>
          <w:szCs w:val="24"/>
        </w:rPr>
        <w:t xml:space="preserve">Original </w:t>
      </w: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Transfer / Migration Certificate with one photocopy</w:t>
      </w:r>
    </w:p>
    <w:p w14:paraId="65899266" w14:textId="77777777" w:rsidR="00B270BC" w:rsidRPr="008732EE" w:rsidRDefault="00B270BC" w:rsidP="008732EE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IN" w:bidi="hi-IN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>Original Character Certificate along with one copy</w:t>
      </w:r>
    </w:p>
    <w:p w14:paraId="71764C46" w14:textId="77777777" w:rsidR="00B270BC" w:rsidRPr="008732EE" w:rsidRDefault="00B270BC" w:rsidP="008732EE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IN" w:bidi="hi-IN"/>
        </w:rPr>
      </w:pPr>
      <w:r w:rsidRPr="008732EE">
        <w:rPr>
          <w:rFonts w:ascii="Arial" w:eastAsia="Times New Roman" w:hAnsi="Arial" w:cs="Arial"/>
          <w:sz w:val="24"/>
          <w:szCs w:val="24"/>
          <w:lang w:eastAsia="en-IN" w:bidi="hi-IN"/>
        </w:rPr>
        <w:t xml:space="preserve">Original cancelled Bank cheque of the applicant or photocopy of the front page of the candidate's bank account </w:t>
      </w:r>
    </w:p>
    <w:p w14:paraId="4B0D7F6D" w14:textId="77777777" w:rsidR="00AD233F" w:rsidRPr="00AD233F" w:rsidRDefault="00AD233F" w:rsidP="00521461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ascii="Segoe UI" w:eastAsia="Times New Roman" w:hAnsi="Segoe UI" w:cs="Segoe UI"/>
          <w:color w:val="525252"/>
          <w:kern w:val="0"/>
          <w:sz w:val="21"/>
          <w:szCs w:val="21"/>
          <w:lang w:eastAsia="en-IN" w:bidi="hi-IN"/>
          <w14:ligatures w14:val="none"/>
        </w:rPr>
      </w:pPr>
    </w:p>
    <w:p w14:paraId="7D94E161" w14:textId="77777777" w:rsidR="00AD233F" w:rsidRPr="00AD233F" w:rsidRDefault="00AD233F" w:rsidP="00AD233F">
      <w:pPr>
        <w:jc w:val="both"/>
        <w:rPr>
          <w:rFonts w:ascii="Arial" w:hAnsi="Arial" w:cs="Arial"/>
          <w:b/>
          <w:bCs/>
          <w:sz w:val="32"/>
          <w:szCs w:val="32"/>
        </w:rPr>
      </w:pPr>
    </w:p>
    <w:sectPr w:rsidR="00AD233F" w:rsidRPr="00AD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5DB"/>
    <w:multiLevelType w:val="hybridMultilevel"/>
    <w:tmpl w:val="66482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E6F"/>
    <w:multiLevelType w:val="hybridMultilevel"/>
    <w:tmpl w:val="A23EAF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755"/>
    <w:multiLevelType w:val="hybridMultilevel"/>
    <w:tmpl w:val="56BE4E82"/>
    <w:lvl w:ilvl="0" w:tplc="B62E8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2E9C"/>
    <w:multiLevelType w:val="multilevel"/>
    <w:tmpl w:val="B31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0222F"/>
    <w:multiLevelType w:val="hybridMultilevel"/>
    <w:tmpl w:val="1C3EE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3EF3"/>
    <w:multiLevelType w:val="hybridMultilevel"/>
    <w:tmpl w:val="E5D6EE90"/>
    <w:lvl w:ilvl="0" w:tplc="C1F20D56">
      <w:start w:val="1"/>
      <w:numFmt w:val="upperLetter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838961">
    <w:abstractNumId w:val="3"/>
  </w:num>
  <w:num w:numId="2" w16cid:durableId="792674670">
    <w:abstractNumId w:val="2"/>
  </w:num>
  <w:num w:numId="3" w16cid:durableId="840124823">
    <w:abstractNumId w:val="5"/>
  </w:num>
  <w:num w:numId="4" w16cid:durableId="1560248276">
    <w:abstractNumId w:val="0"/>
  </w:num>
  <w:num w:numId="5" w16cid:durableId="1710181419">
    <w:abstractNumId w:val="4"/>
  </w:num>
  <w:num w:numId="6" w16cid:durableId="58441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3F"/>
    <w:rsid w:val="00123A35"/>
    <w:rsid w:val="00521461"/>
    <w:rsid w:val="005F6000"/>
    <w:rsid w:val="007A427A"/>
    <w:rsid w:val="007F7A29"/>
    <w:rsid w:val="008732EE"/>
    <w:rsid w:val="009B43CE"/>
    <w:rsid w:val="00AD233F"/>
    <w:rsid w:val="00AF2BE0"/>
    <w:rsid w:val="00B270BC"/>
    <w:rsid w:val="00C03759"/>
    <w:rsid w:val="00D53D5C"/>
    <w:rsid w:val="00ED6FEF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C3AC6"/>
  <w15:chartTrackingRefBased/>
  <w15:docId w15:val="{033EA410-41BB-40E3-A6FC-C9C3940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3F"/>
  </w:style>
  <w:style w:type="paragraph" w:styleId="Heading1">
    <w:name w:val="heading 1"/>
    <w:basedOn w:val="Normal"/>
    <w:next w:val="Normal"/>
    <w:link w:val="Heading1Char"/>
    <w:qFormat/>
    <w:rsid w:val="00AD233F"/>
    <w:pPr>
      <w:keepNext/>
      <w:spacing w:after="0" w:line="240" w:lineRule="auto"/>
      <w:outlineLvl w:val="0"/>
    </w:pPr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233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kern w:val="0"/>
      <w:sz w:val="2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33F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AD233F"/>
    <w:rPr>
      <w:rFonts w:ascii="Arial" w:eastAsia="Times New Roman" w:hAnsi="Arial" w:cs="Times New Roman"/>
      <w:b/>
      <w:kern w:val="0"/>
      <w:sz w:val="28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AD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D2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D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AD23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3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709</Words>
  <Characters>3901</Characters>
  <Application>Microsoft Office Word</Application>
  <DocSecurity>0</DocSecurity>
  <Lines>105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2024-08-23T06:59:00Z</dcterms:created>
  <dcterms:modified xsi:type="dcterms:W3CDTF">2024-08-23T10:27:00Z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b7139c92-8440-4413-83fb-95678a1bec40</vt:lpwstr>
  </property>
</Properties>
</file>